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999999999998" w:type="dxa"/>
        <w:jc w:val="left"/>
        <w:tblInd w:w="0.0" w:type="dxa"/>
        <w:tblLayout w:type="fixed"/>
        <w:tblLook w:val="0000"/>
      </w:tblPr>
      <w:tblGrid>
        <w:gridCol w:w="114"/>
        <w:gridCol w:w="2320"/>
        <w:gridCol w:w="2215"/>
        <w:gridCol w:w="1477"/>
        <w:gridCol w:w="393"/>
        <w:gridCol w:w="3116"/>
        <w:tblGridChange w:id="0">
          <w:tblGrid>
            <w:gridCol w:w="114"/>
            <w:gridCol w:w="2320"/>
            <w:gridCol w:w="2215"/>
            <w:gridCol w:w="1477"/>
            <w:gridCol w:w="393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2898775" cy="100901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-514" l="-179" r="-179" t="-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551815" cy="58674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259" l="-285" r="-285" t="-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7175" cy="37084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-214" l="-72" r="-51" t="-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ATTIVITÀ SVOLTE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7"/>
        <w:gridCol w:w="5110"/>
        <w:gridCol w:w="2468"/>
        <w:tblGridChange w:id="0">
          <w:tblGrid>
            <w:gridCol w:w="2487"/>
            <w:gridCol w:w="5110"/>
            <w:gridCol w:w="246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864" w:right="0" w:hanging="86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e cognome del docente  Simona Niccolai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Disciplina insegnata 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Libro/i di testo in uso: Paolucci,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ignorini,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rtl w:val="0"/>
              </w:rPr>
              <w:t xml:space="preserve">La nostra storia, il nostro presente”, vol. 1,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Dall'anno Mille al Seicento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Classe e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........3E..............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Indirizzo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..............................Agrario....................................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 studenti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..........20............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Descrizione di conoscenze e abilità, suddivise in unità di apprendimento o didattiche, evidenziando per ognuna quelle essenziali o minime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UdA1: Il Medioevo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Competenze:Comprendere il cambiamento e la diversità dei tempi storici in una dimensione diacronica attraverso il confronto tra epoche e una dimensione sincronica attraverso il confronto tra aree geografiche e culturali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Conoscenze: Le caratteristiche essenziali  storiche, politiche e culturali del Medioevo, in particolare del Basso Medioevo. Lo scontro tra Papato e Impero.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La nascita dei comuni, le Signorie e il passaggio a stati regionali.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 vita quotidiana nel periodo di riferimento.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Abilità: Saper integrare e richiamare le conoscenze acquisite da appunti, libro di testo, documenti scritti e iconografici. Saper ricostruire l'evoluzione delle istituzioni studiate: Impero, Papato, Comune, Signoria.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Obiettivi Minimi: conoscere e saper esporre in forma essenziale ma chiara e sostanzialmente corretta i contenuti dell'UdA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UdA 2 Il Rinascimento</w:t>
            </w:r>
          </w:p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Competenze:Comprendere il cambiamento e la diversità dei tempi storici in una dimensione diacronica attraverso il confronto tra epoche e una dimensione sincronica attraverso il confronto tra aree geografiche e culturali</w:t>
            </w:r>
          </w:p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Abilità: Saper integrare e richiamare le conoscenze acquisite da appunti, libro di testo, documenti scritti e iconografici. 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ssere in grado di individuare i principali fattori di causa/effetto tra gli eventi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Conoscenze: conoscere le caratteristiche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storiche, politiche e culturali del Rinascimento, le esplorazioni e conquiste geografiche e il loro impatto sull'Europa. La situazione politica italiana. La vita quotidiana nel periodo di riferimento. 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’evoluzione dell’Impero fino a Carlo 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UdA 3 La Riforma protestante e la rottura dell’Unità religiosa europea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Competenze:Comprendere il cambiamento e la diversità dei tempi storici in una dimensione diacronica attraverso il confronto tra epoche e una dimensione sincronica attraverso il confronto tra aree geografiche e culturali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Abilità: Saper integrare e richiamare le conoscenze acquisite da appunti, libro di testo, documenti scritti e iconografici. Essere in grado di individuare i principali fattori di causa/effetto tra gli eventi 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Conoscenze: La Riforma protestante e il Calvinismo; la Riforma cattolica; la nascita della Chiesa Anglicana; la diffusione delle religioni riformate in Europa.</w:t>
            </w:r>
          </w:p>
          <w:p w:rsidR="00000000" w:rsidDel="00000000" w:rsidP="00000000" w:rsidRDefault="00000000" w:rsidRPr="00000000" w14:paraId="0000004B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Obiettivi Minimi: conoscere e saper esporre in forma essenziale ma chiara e sostanzialmente corretta i contenuti dell'UdA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Attività o moduli didattici concordati nel CdC a livello interdisciplinare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Educazione civica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(descrizione di conoscenze, abilità e competenze che si intendono raggiungere o sviluppare)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UDA EDUCAZIONE CIVICA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Costituzione. Cittadinanza attiva: La lotta delle donne per la parità dei diritti, dalla Belle époque alla contemporaneità.</w:t>
            </w:r>
          </w:p>
          <w:p w:rsidR="00000000" w:rsidDel="00000000" w:rsidP="00000000" w:rsidRDefault="00000000" w:rsidRPr="00000000" w14:paraId="00000055">
            <w:pPr>
              <w:widowControl w:val="1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.Competenze: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b2b2b"/>
                <w:sz w:val="22"/>
                <w:szCs w:val="22"/>
                <w:rtl w:val="0"/>
              </w:rPr>
              <w:t xml:space="preserve">collocare l’esperienza personale in un sistema di regole fondato sul reciproco riconoscimento dei diritti e dei doveri correlato alle Cittadinanze.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 Conoscere i valori che ispirano gli ordinamenti comunitari e internazionali, nonché i loro compiti e funzioni essenziali. Essere consapevoli del valore e delle regole della vita democratica anche attraverso l’approfondimento degli elementi fondamentali del diritto che la regolano, con particolare riferimento al diritto del lavoro.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- L'immagine della donna attraverso il Novecento, dalla Belle époque al dopoguerra. La condizione femminile, le lotte e le conquiste femminili in termini di diritti. </w:t>
            </w:r>
          </w:p>
          <w:p w:rsidR="00000000" w:rsidDel="00000000" w:rsidP="00000000" w:rsidRDefault="00000000" w:rsidRPr="00000000" w14:paraId="00000057">
            <w:pPr>
              <w:widowControl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: Esporre in maniera semplice ma corretta gli argomenti trattati; comprendere, se guidati, le immagini e i testi proposti ed essere in grado di rielaborarli.</w:t>
            </w:r>
          </w:p>
          <w:p w:rsidR="00000000" w:rsidDel="00000000" w:rsidP="00000000" w:rsidRDefault="00000000" w:rsidRPr="00000000" w14:paraId="00000058">
            <w:pPr>
              <w:widowControl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Obiettivi minimi: Esporre oralmente e per iscritto i contenuti dell'UdA in forma  sostanzialmente corretta.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Pisa li …09/06/2022</w:t>
        <w:tab/>
        <w:t xml:space="preserve">                                   Il docente…Simona Niccolai…</w:t>
      </w:r>
    </w:p>
    <w:p w:rsidR="00000000" w:rsidDel="00000000" w:rsidP="00000000" w:rsidRDefault="00000000" w:rsidRPr="00000000" w14:paraId="00000068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rappresentante degli studenti ……………………………</w:t>
      </w:r>
    </w:p>
    <w:sectPr>
      <w:pgSz w:h="16838" w:w="11906" w:orient="portrait"/>
      <w:pgMar w:bottom="1134" w:top="42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